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Bailey Oliver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Dietetic Internship</w:t>
      </w:r>
    </w:p>
    <w:p w:rsidR="00000000" w:rsidDel="00000000" w:rsidP="00000000" w:rsidRDefault="00000000" w:rsidRPr="00000000" w14:paraId="00000003">
      <w:pPr>
        <w:rPr/>
      </w:pPr>
      <w:r w:rsidDel="00000000" w:rsidR="00000000" w:rsidRPr="00000000">
        <w:rPr>
          <w:rFonts w:ascii="Times New Roman" w:cs="Times New Roman" w:eastAsia="Times New Roman" w:hAnsi="Times New Roman"/>
          <w:sz w:val="24"/>
          <w:szCs w:val="24"/>
          <w:rtl w:val="0"/>
        </w:rPr>
        <w:t xml:space="preserve">April 2025</w:t>
      </w:r>
      <w:r w:rsidDel="00000000" w:rsidR="00000000" w:rsidRPr="00000000">
        <w:rPr>
          <w:rtl w:val="0"/>
        </w:rPr>
        <w:tab/>
        <w:tab/>
        <w:t xml:space="preserve"> </w:t>
        <w:tab/>
        <w:t xml:space="preserve"> </w:t>
        <w:tab/>
        <w:t xml:space="preserve"> </w:t>
        <w:tab/>
        <w:tab/>
      </w:r>
    </w:p>
    <w:p w:rsidR="00000000" w:rsidDel="00000000" w:rsidP="00000000" w:rsidRDefault="00000000" w:rsidRPr="00000000" w14:paraId="00000004">
      <w:pPr>
        <w:rPr/>
      </w:pPr>
      <w:r w:rsidDel="00000000" w:rsidR="00000000" w:rsidRPr="00000000">
        <w:rPr>
          <w:rtl w:val="0"/>
        </w:rPr>
        <w:tab/>
        <w:tab/>
        <w:tab/>
        <w:tab/>
        <w:tab/>
        <w:tab/>
      </w:r>
    </w:p>
    <w:p w:rsidR="00000000" w:rsidDel="00000000" w:rsidP="00000000" w:rsidRDefault="00000000" w:rsidRPr="00000000" w14:paraId="00000005">
      <w:pPr>
        <w:shd w:fill="ffffff" w:val="clea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Clinical Case Study </w:t>
      </w: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06">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Acute on Chronic Systolic Heart Failure and Nutrition Intervention: A Case Report</w:t>
        <w:tab/>
        <w:tab/>
        <w:tab/>
        <w:tab/>
        <w:tab/>
      </w:r>
    </w:p>
    <w:p w:rsidR="00000000" w:rsidDel="00000000" w:rsidP="00000000" w:rsidRDefault="00000000" w:rsidRPr="00000000" w14:paraId="00000007">
      <w:pP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Words:</w:t>
      </w:r>
    </w:p>
    <w:p w:rsidR="00000000" w:rsidDel="00000000" w:rsidP="00000000" w:rsidRDefault="00000000" w:rsidRPr="00000000" w14:paraId="0000000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09">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Acute on Chronic CHF, case report, hypertension, type 2 diabetes, morbid obesity</w:t>
        <w:tab/>
        <w:tab/>
        <w:tab/>
        <w:tab/>
        <w:tab/>
        <w:tab/>
      </w:r>
    </w:p>
    <w:p w:rsidR="00000000" w:rsidDel="00000000" w:rsidP="00000000" w:rsidRDefault="00000000" w:rsidRPr="00000000" w14:paraId="0000000A">
      <w:pPr>
        <w:shd w:fill="ffffff" w:val="clea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0C">
      <w:pP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case is unique due to the combination of multiple chronic conditions, including heart failure, hypertension, and Type 2 diabetes mellitus (T2DM), seizure disorder, stage 3a chronic kidney disease, and stroke, making nutritional management complex. This report discusses the tailored nutrition interventions for a patient with these complex health needs.</w:t>
      </w:r>
    </w:p>
    <w:p w:rsidR="00000000" w:rsidDel="00000000" w:rsidP="00000000" w:rsidRDefault="00000000" w:rsidRPr="00000000" w14:paraId="0000000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0F">
      <w:pP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Main Symptoms and Clinical Findings:</w:t>
      </w:r>
    </w:p>
    <w:p w:rsidR="00000000" w:rsidDel="00000000" w:rsidP="00000000" w:rsidRDefault="00000000" w:rsidRPr="00000000" w14:paraId="0000001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patient is a 42 yo female presenting to the ER with SOB and lower extremity edema. She also has an extensive medical history of stage 3a chronic kidney disease, stroke, coronary artery disease, type 2 diabetes, seizure disorder, below the knee amputation, hypertension, and gastroparesis. She denies any nausea or vomiting and currently states good PO intake, as well as maintaining her fluid restriction at home and trying to cook healthier meals for herself. Her hemoglobin A1C is very elevated at 11.7 and her sodium and glucose levels are elevated, at 135 mmol/L for sodium and 367 mg/dl for her glucose. </w:t>
      </w:r>
      <w:r w:rsidDel="00000000" w:rsidR="00000000" w:rsidRPr="00000000">
        <w:rPr>
          <w:rtl w:val="0"/>
        </w:rPr>
      </w:r>
    </w:p>
    <w:p w:rsidR="00000000" w:rsidDel="00000000" w:rsidP="00000000" w:rsidRDefault="00000000" w:rsidRPr="00000000" w14:paraId="0000001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12">
      <w:pP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Main Diagnoses and Interventions:</w:t>
      </w:r>
    </w:p>
    <w:p w:rsidR="00000000" w:rsidDel="00000000" w:rsidP="00000000" w:rsidRDefault="00000000" w:rsidRPr="00000000" w14:paraId="0000001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14">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patient’s primary diagnosis was acute on chronic systolic CHF, with coexisting kidney disease, stroke, coronary artery disease, and T2DM. Nutritional interventions included diet education on CHF management and the recommendation of 8 cup fluid restriction, less than 2,000 mg of sodium per day, avoidance of added salt and higher sodium foods, written education materials on foods to avoid/ foods to choose and AND guidelines for heart healthy diet provided.</w:t>
        <w:tab/>
        <w:tab/>
        <w:tab/>
        <w:tab/>
        <w:tab/>
        <w:tab/>
      </w:r>
    </w:p>
    <w:p w:rsidR="00000000" w:rsidDel="00000000" w:rsidP="00000000" w:rsidRDefault="00000000" w:rsidRPr="00000000" w14:paraId="00000015">
      <w:pP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1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17">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case highlights the importance of individualized nutrition interventions for patients with chronic conditions such as CHF, stroke, kidney disease, and type 2 diabetes. The primary takeaway is the critical role of ongoing nutritional support and education to improve patient outcomes in managing complex chronic diseases such as congestive heart failure and type 2 diabetes, and providing strategies to prevent these diseases from worsening. </w:t>
        <w:tab/>
        <w:tab/>
        <w:tab/>
        <w:tab/>
        <w:tab/>
        <w:tab/>
      </w:r>
    </w:p>
    <w:p w:rsidR="00000000" w:rsidDel="00000000" w:rsidP="00000000" w:rsidRDefault="00000000" w:rsidRPr="00000000" w14:paraId="00000018">
      <w:pP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1A">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Congestive heart failure (CHF) with co-occurring kidney disease, stroke, and Type 2 diabetes mellitus (T2DM) presents unique nutritional management challenges. These complex diseases require individualized interventions to address fluid and sodium management, protein intake, and glucose control. This case illustrates the challenges and interventions used for a 42 YO female patient with acute on chronic diastolic and systolic CHF, kidney disease, stroke, and multiple other comorbidities. Nutritional support and education are critical components of the overall management plan for such patients.</w:t>
      </w:r>
    </w:p>
    <w:p w:rsidR="00000000" w:rsidDel="00000000" w:rsidP="00000000" w:rsidRDefault="00000000" w:rsidRPr="00000000" w14:paraId="0000001B">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1C">
      <w:pP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Patient Information:</w:t>
      </w:r>
    </w:p>
    <w:p w:rsidR="00000000" w:rsidDel="00000000" w:rsidP="00000000" w:rsidRDefault="00000000" w:rsidRPr="00000000" w14:paraId="0000001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1E">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Patient Information:</w:t>
        <w:br w:type="textWrapping"/>
      </w:r>
      <w:r w:rsidDel="00000000" w:rsidR="00000000" w:rsidRPr="00000000">
        <w:rPr>
          <w:rFonts w:ascii="Times New Roman" w:cs="Times New Roman" w:eastAsia="Times New Roman" w:hAnsi="Times New Roman"/>
          <w:sz w:val="24"/>
          <w:szCs w:val="24"/>
          <w:rtl w:val="0"/>
        </w:rPr>
        <w:t xml:space="preserve">42 year old female with acute on chronic diastolic and systolic coronary heart failure, kidney disease, stroke, seizure disorder, type 2 diabetes, and below the knee amputation.</w:t>
      </w:r>
      <w:r w:rsidDel="00000000" w:rsidR="00000000" w:rsidRPr="00000000">
        <w:rPr>
          <w:rtl w:val="0"/>
        </w:rPr>
      </w:r>
    </w:p>
    <w:p w:rsidR="00000000" w:rsidDel="00000000" w:rsidP="00000000" w:rsidRDefault="00000000" w:rsidRPr="00000000" w14:paraId="0000001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20">
      <w:pPr>
        <w:numPr>
          <w:ilvl w:val="0"/>
          <w:numId w:val="2"/>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Primary Concerns:</w:t>
        <w:br w:type="textWrapping"/>
        <w:t xml:space="preserve"> </w:t>
      </w:r>
      <w:r w:rsidDel="00000000" w:rsidR="00000000" w:rsidRPr="00000000">
        <w:rPr>
          <w:rFonts w:ascii="Times New Roman" w:cs="Times New Roman" w:eastAsia="Times New Roman" w:hAnsi="Times New Roman"/>
          <w:sz w:val="24"/>
          <w:szCs w:val="24"/>
          <w:rtl w:val="0"/>
        </w:rPr>
        <w:t xml:space="preserve">The patient reported recent SOB and lower extremity edema. Denies nausea/vomiting or loss of appetite. Presents with elevated glucose of 367 mg/dL and elevated sodium of 135 mmol/L and hemoglobin A1C of 11.7. </w:t>
        <w:br w:type="textWrapping"/>
        <w:t xml:space="preserve"> </w:t>
        <w:tab/>
        <w:tab/>
        <w:tab/>
        <w:tab/>
        <w:tab/>
        <w:tab/>
        <w:tab/>
      </w:r>
    </w:p>
    <w:p w:rsidR="00000000" w:rsidDel="00000000" w:rsidP="00000000" w:rsidRDefault="00000000" w:rsidRPr="00000000" w14:paraId="00000021">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 </w:t>
        <w:tab/>
        <w:tab/>
        <w:tab/>
        <w:tab/>
        <w:tab/>
        <w:tab/>
        <w:tab/>
        <w:tab/>
        <w:br w:type="textWrapping"/>
        <w:t xml:space="preserve">●  </w:t>
      </w:r>
      <w:r w:rsidDel="00000000" w:rsidR="00000000" w:rsidRPr="00000000">
        <w:rPr>
          <w:rFonts w:ascii="Times New Roman" w:cs="Times New Roman" w:eastAsia="Times New Roman" w:hAnsi="Times New Roman"/>
          <w:b w:val="1"/>
          <w:sz w:val="24"/>
          <w:szCs w:val="24"/>
          <w:rtl w:val="0"/>
        </w:rPr>
        <w:t xml:space="preserve">Medical History:</w:t>
        <w:br w:type="textWrapping"/>
        <w:t xml:space="preserve"> </w:t>
      </w:r>
      <w:r w:rsidDel="00000000" w:rsidR="00000000" w:rsidRPr="00000000">
        <w:rPr>
          <w:rFonts w:ascii="Times New Roman" w:cs="Times New Roman" w:eastAsia="Times New Roman" w:hAnsi="Times New Roman"/>
          <w:sz w:val="24"/>
          <w:szCs w:val="24"/>
          <w:rtl w:val="0"/>
        </w:rPr>
        <w:t xml:space="preserve">Comorbidities include kidney disease, CAD, HTN, T2DM, and a history of stroke. This patient is on many medications, including atorvastatin for high blood pressure, insulin lispro for type 2 diabetes, gabapentin for seizure control, lasix for CHF and excess fluid, and protonix for GERD and stomach ulcer prevention. </w:t>
        <w:br w:type="textWrapping"/>
        <w:t xml:space="preserve"> </w:t>
        <w:tab/>
        <w:tab/>
        <w:tab/>
        <w:tab/>
        <w:tab/>
        <w:tab/>
        <w:tab/>
      </w:r>
    </w:p>
    <w:p w:rsidR="00000000" w:rsidDel="00000000" w:rsidP="00000000" w:rsidRDefault="00000000" w:rsidRPr="00000000" w14:paraId="00000022">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ab/>
        <w:tab/>
        <w:tab/>
        <w:tab/>
        <w:tab/>
        <w:tab/>
        <w:tab/>
        <w:t xml:space="preserve"> </w:t>
        <w:tab/>
        <w:tab/>
        <w:tab/>
        <w:tab/>
        <w:tab/>
        <w:tab/>
        <w:tab/>
        <w:tab/>
        <w:br w:type="textWrapping"/>
      </w:r>
      <w:r w:rsidDel="00000000" w:rsidR="00000000" w:rsidRPr="00000000">
        <w:rPr>
          <w:rFonts w:ascii="Times New Roman" w:cs="Times New Roman" w:eastAsia="Times New Roman" w:hAnsi="Times New Roman"/>
          <w:b w:val="1"/>
          <w:sz w:val="24"/>
          <w:szCs w:val="24"/>
          <w:rtl w:val="0"/>
        </w:rPr>
        <w:t xml:space="preserve">●  Pertinent Lab Values:</w:t>
        <w:br w:type="textWrapping"/>
        <w:t xml:space="preserve"> </w:t>
      </w:r>
      <w:r w:rsidDel="00000000" w:rsidR="00000000" w:rsidRPr="00000000">
        <w:rPr>
          <w:rFonts w:ascii="Times New Roman" w:cs="Times New Roman" w:eastAsia="Times New Roman" w:hAnsi="Times New Roman"/>
          <w:sz w:val="24"/>
          <w:szCs w:val="24"/>
          <w:rtl w:val="0"/>
        </w:rPr>
        <w:tab/>
        <w:tab/>
        <w:tab/>
        <w:tab/>
        <w:tab/>
        <w:tab/>
        <w:tab/>
        <w:tab/>
      </w:r>
    </w:p>
    <w:p w:rsidR="00000000" w:rsidDel="00000000" w:rsidP="00000000" w:rsidRDefault="00000000" w:rsidRPr="00000000" w14:paraId="00000023">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 xml:space="preserve"> </w:t>
        <w:tab/>
        <w:tab/>
        <w:tab/>
        <w:tab/>
        <w:tab/>
        <w:tab/>
        <w:tab/>
        <w:tab/>
        <w:tab/>
        <w:tab/>
        <w:br w:type="textWrapping"/>
        <w:t xml:space="preserve">○  A1C: 6.3% (3/26/25)</w:t>
        <w:br w:type="textWrapping"/>
        <w:t xml:space="preserve"> </w:t>
        <w:tab/>
        <w:tab/>
        <w:tab/>
        <w:tab/>
        <w:tab/>
        <w:tab/>
        <w:tab/>
        <w:tab/>
        <w:tab/>
      </w:r>
    </w:p>
    <w:p w:rsidR="00000000" w:rsidDel="00000000" w:rsidP="00000000" w:rsidRDefault="00000000" w:rsidRPr="00000000" w14:paraId="00000024">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 xml:space="preserve"> </w:t>
        <w:tab/>
        <w:tab/>
        <w:tab/>
        <w:tab/>
        <w:tab/>
        <w:tab/>
        <w:tab/>
        <w:tab/>
        <w:tab/>
        <w:tab/>
        <w:br w:type="textWrapping"/>
        <w:t xml:space="preserve">○  Sodium: 135 L</w:t>
        <w:br w:type="textWrapping"/>
        <w:t xml:space="preserve"> </w:t>
        <w:tab/>
        <w:tab/>
        <w:tab/>
        <w:tab/>
        <w:tab/>
        <w:tab/>
        <w:tab/>
        <w:tab/>
        <w:tab/>
      </w:r>
    </w:p>
    <w:p w:rsidR="00000000" w:rsidDel="00000000" w:rsidP="00000000" w:rsidRDefault="00000000" w:rsidRPr="00000000" w14:paraId="00000025">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 xml:space="preserve"> </w:t>
        <w:tab/>
        <w:tab/>
        <w:tab/>
        <w:tab/>
        <w:tab/>
        <w:tab/>
        <w:tab/>
        <w:tab/>
        <w:tab/>
        <w:tab/>
        <w:br w:type="textWrapping"/>
        <w:t xml:space="preserve">○  Potassium: 4.6</w:t>
        <w:br w:type="textWrapping"/>
        <w:t xml:space="preserve"> </w:t>
        <w:tab/>
        <w:tab/>
        <w:tab/>
        <w:tab/>
        <w:tab/>
        <w:tab/>
        <w:tab/>
        <w:tab/>
        <w:tab/>
      </w:r>
    </w:p>
    <w:p w:rsidR="00000000" w:rsidDel="00000000" w:rsidP="00000000" w:rsidRDefault="00000000" w:rsidRPr="00000000" w14:paraId="00000026">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 xml:space="preserve"> </w:t>
        <w:tab/>
        <w:tab/>
        <w:tab/>
        <w:tab/>
        <w:tab/>
        <w:tab/>
        <w:tab/>
        <w:tab/>
        <w:tab/>
        <w:tab/>
        <w:br w:type="textWrapping"/>
        <w:t xml:space="preserve">○  Glucose: 367 H</w:t>
        <w:br w:type="textWrapping"/>
        <w:t xml:space="preserve"> </w:t>
        <w:tab/>
        <w:tab/>
        <w:tab/>
        <w:tab/>
        <w:tab/>
        <w:tab/>
        <w:tab/>
        <w:tab/>
        <w:tab/>
      </w:r>
    </w:p>
    <w:p w:rsidR="00000000" w:rsidDel="00000000" w:rsidP="00000000" w:rsidRDefault="00000000" w:rsidRPr="00000000" w14:paraId="00000027">
      <w:pPr>
        <w:numPr>
          <w:ilvl w:val="1"/>
          <w:numId w:val="2"/>
        </w:numPr>
        <w:spacing w:after="0" w:afterAutospacing="0" w:before="0" w:before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ab/>
        <w:tab/>
        <w:tab/>
        <w:tab/>
        <w:tab/>
        <w:tab/>
        <w:tab/>
        <w:tab/>
        <w:tab/>
        <w:t xml:space="preserve"> </w:t>
        <w:tab/>
        <w:tab/>
        <w:tab/>
        <w:tab/>
        <w:tab/>
        <w:tab/>
        <w:tab/>
        <w:tab/>
        <w:tab/>
        <w:tab/>
        <w:br w:type="textWrapping"/>
        <w:t xml:space="preserve">○  Creatinine: 1.4 H</w:t>
        <w:br w:type="textWrapping"/>
        <w:t xml:space="preserve"> </w:t>
        <w:tab/>
        <w:tab/>
        <w:tab/>
        <w:tab/>
        <w:tab/>
        <w:tab/>
        <w:tab/>
        <w:tab/>
        <w:tab/>
        <w:tab/>
        <w:br w:type="textWrapping"/>
      </w:r>
      <w:r w:rsidDel="00000000" w:rsidR="00000000" w:rsidRPr="00000000">
        <w:rPr>
          <w:rFonts w:ascii="Times New Roman" w:cs="Times New Roman" w:eastAsia="Times New Roman" w:hAnsi="Times New Roman"/>
          <w:b w:val="1"/>
          <w:sz w:val="24"/>
          <w:szCs w:val="24"/>
          <w:rtl w:val="0"/>
        </w:rPr>
        <w:t xml:space="preserve">Physical Examination and Clinical Findings:</w:t>
        <w:br w:type="textWrapping"/>
        <w:t xml:space="preserve"> </w:t>
      </w:r>
      <w:r w:rsidDel="00000000" w:rsidR="00000000" w:rsidRPr="00000000">
        <w:rPr>
          <w:rFonts w:ascii="Times New Roman" w:cs="Times New Roman" w:eastAsia="Times New Roman" w:hAnsi="Times New Roman"/>
          <w:sz w:val="24"/>
          <w:szCs w:val="24"/>
          <w:rtl w:val="0"/>
        </w:rPr>
        <w:tab/>
        <w:tab/>
        <w:tab/>
        <w:tab/>
        <w:tab/>
        <w:tab/>
        <w:tab/>
        <w:tab/>
        <w:tab/>
        <w:tab/>
        <w:br w:type="textWrapping"/>
        <w:t xml:space="preserve">Height: 71”</w:t>
        <w:br w:type="textWrapping"/>
        <w:t xml:space="preserve">Weight: 172.2 kg (BMI: 52.9) </w:t>
      </w:r>
    </w:p>
    <w:p w:rsidR="00000000" w:rsidDel="00000000" w:rsidP="00000000" w:rsidRDefault="00000000" w:rsidRPr="00000000" w14:paraId="00000028">
      <w:pPr>
        <w:numPr>
          <w:ilvl w:val="1"/>
          <w:numId w:val="2"/>
        </w:numPr>
        <w:spacing w:after="0" w:afterAutospacing="0" w:before="0" w:before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Blood Pressure: 120/69 mmHg </w:t>
      </w:r>
    </w:p>
    <w:p w:rsidR="00000000" w:rsidDel="00000000" w:rsidP="00000000" w:rsidRDefault="00000000" w:rsidRPr="00000000" w14:paraId="00000029">
      <w:pPr>
        <w:numPr>
          <w:ilvl w:val="1"/>
          <w:numId w:val="2"/>
        </w:numPr>
        <w:spacing w:after="240" w:before="0" w:beforeAutospacing="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Weight History:</w:t>
        <w:tab/>
        <w:tab/>
        <w:tab/>
        <w:tab/>
        <w:t xml:space="preserve"> </w:t>
        <w:tab/>
        <w:tab/>
        <w:tab/>
        <w:tab/>
        <w:tab/>
        <w:tab/>
        <w:t xml:space="preserve">12/26/24: 142 kg</w:t>
      </w:r>
    </w:p>
    <w:p w:rsidR="00000000" w:rsidDel="00000000" w:rsidP="00000000" w:rsidRDefault="00000000" w:rsidRPr="00000000" w14:paraId="0000002A">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1/16/25: 163 kg</w:t>
      </w:r>
    </w:p>
    <w:p w:rsidR="00000000" w:rsidDel="00000000" w:rsidP="00000000" w:rsidRDefault="00000000" w:rsidRPr="00000000" w14:paraId="0000002B">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3/26/25: 172 kg</w:t>
      </w:r>
    </w:p>
    <w:p w:rsidR="00000000" w:rsidDel="00000000" w:rsidP="00000000" w:rsidRDefault="00000000" w:rsidRPr="00000000" w14:paraId="0000002C">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br w:type="textWrapping"/>
        <w:t xml:space="preserve">The patient’s intake was okay and she has a wound (diabetic ulcer) on her left leg </w:t>
        <w:tab/>
        <w:tab/>
        <w:tab/>
        <w:tab/>
        <w:tab/>
        <w:tab/>
        <w:tab/>
        <w:tab/>
        <w:br w:type="textWrapping"/>
      </w:r>
      <w:r w:rsidDel="00000000" w:rsidR="00000000" w:rsidRPr="00000000">
        <w:rPr>
          <w:rFonts w:ascii="Times New Roman" w:cs="Times New Roman" w:eastAsia="Times New Roman" w:hAnsi="Times New Roman"/>
          <w:b w:val="1"/>
          <w:sz w:val="24"/>
          <w:szCs w:val="24"/>
          <w:rtl w:val="0"/>
        </w:rPr>
        <w:t xml:space="preserve">Timeline of Care:</w:t>
        <w:br w:type="textWrapping"/>
        <w:t xml:space="preserve"> </w:t>
      </w:r>
      <w:r w:rsidDel="00000000" w:rsidR="00000000" w:rsidRPr="00000000">
        <w:rPr>
          <w:rFonts w:ascii="Times New Roman" w:cs="Times New Roman" w:eastAsia="Times New Roman" w:hAnsi="Times New Roman"/>
          <w:sz w:val="24"/>
          <w:szCs w:val="24"/>
          <w:rtl w:val="0"/>
        </w:rPr>
        <w:tab/>
        <w:tab/>
        <w:tab/>
        <w:tab/>
        <w:tab/>
        <w:tab/>
        <w:tab/>
      </w:r>
    </w:p>
    <w:p w:rsidR="00000000" w:rsidDel="00000000" w:rsidP="00000000" w:rsidRDefault="00000000" w:rsidRPr="00000000" w14:paraId="0000002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3/25/25: The patient was admitted for acute chronic systolic and diastolic CHF. Complaints include increasing shortness of breath and edema of lower extremities. </w:t>
        <w:tab/>
        <w:tab/>
        <w:tab/>
        <w:tab/>
        <w:tab/>
        <w:tab/>
        <w:tab/>
        <w:tab/>
        <w:t xml:space="preserve"> </w:t>
        <w:tab/>
        <w:tab/>
        <w:tab/>
        <w:tab/>
        <w:tab/>
        <w:tab/>
        <w:tab/>
        <w:tab/>
        <w:br w:type="textWrapping"/>
        <w:t xml:space="preserve">3/26/25: The dietetic intern provided 10 minutes of CHF diet education, focusing on fluid restriction (2000 mL), sodium management (2 GM NA diet), and avoidance of high sodium foods. </w:t>
        <w:br w:type="textWrapping"/>
        <w:t xml:space="preserve"> </w:t>
        <w:tab/>
        <w:tab/>
        <w:tab/>
        <w:tab/>
        <w:tab/>
        <w:tab/>
        <w:tab/>
        <w:tab/>
        <w:br w:type="textWrapping"/>
      </w:r>
      <w:r w:rsidDel="00000000" w:rsidR="00000000" w:rsidRPr="00000000">
        <w:rPr>
          <w:rFonts w:ascii="Times New Roman" w:cs="Times New Roman" w:eastAsia="Times New Roman" w:hAnsi="Times New Roman"/>
          <w:b w:val="1"/>
          <w:sz w:val="24"/>
          <w:szCs w:val="24"/>
          <w:rtl w:val="0"/>
        </w:rPr>
        <w:t xml:space="preserve">Diagnostic Assessment:</w:t>
        <w:br w:type="textWrapping"/>
        <w:t xml:space="preserve"> </w:t>
      </w:r>
      <w:r w:rsidDel="00000000" w:rsidR="00000000" w:rsidRPr="00000000">
        <w:rPr>
          <w:rFonts w:ascii="Times New Roman" w:cs="Times New Roman" w:eastAsia="Times New Roman" w:hAnsi="Times New Roman"/>
          <w:sz w:val="24"/>
          <w:szCs w:val="24"/>
          <w:rtl w:val="0"/>
        </w:rPr>
        <w:tab/>
        <w:tab/>
        <w:tab/>
        <w:tab/>
        <w:tab/>
        <w:tab/>
        <w:tab/>
        <w:tab/>
        <w:br w:type="textWrapping"/>
        <w:t xml:space="preserve">The patient’s EF was 20-25%, confirming systolic and diastolic dysfunction. Lab values indicated worsening renal function with elevated sodium and glucose, and elevated creatinine. These findings highlight the need for dietary intervention, especially considering her comorbidities and morbid obesity. </w:t>
        <w:br w:type="textWrapping"/>
        <w:t xml:space="preserve"> </w:t>
        <w:tab/>
        <w:tab/>
        <w:tab/>
        <w:tab/>
        <w:tab/>
        <w:tab/>
        <w:tab/>
        <w:tab/>
        <w:br w:type="textWrapping"/>
      </w:r>
      <w:r w:rsidDel="00000000" w:rsidR="00000000" w:rsidRPr="00000000">
        <w:rPr>
          <w:rFonts w:ascii="Times New Roman" w:cs="Times New Roman" w:eastAsia="Times New Roman" w:hAnsi="Times New Roman"/>
          <w:b w:val="1"/>
          <w:sz w:val="24"/>
          <w:szCs w:val="24"/>
          <w:rtl w:val="0"/>
        </w:rPr>
        <w:t xml:space="preserve">Diagnosis:</w:t>
        <w:br w:type="textWrapping"/>
        <w:t xml:space="preserve"> </w:t>
      </w:r>
      <w:r w:rsidDel="00000000" w:rsidR="00000000" w:rsidRPr="00000000">
        <w:rPr>
          <w:rFonts w:ascii="Times New Roman" w:cs="Times New Roman" w:eastAsia="Times New Roman" w:hAnsi="Times New Roman"/>
          <w:sz w:val="24"/>
          <w:szCs w:val="24"/>
          <w:rtl w:val="0"/>
        </w:rPr>
        <w:tab/>
        <w:tab/>
        <w:tab/>
        <w:tab/>
        <w:tab/>
        <w:tab/>
        <w:tab/>
        <w:tab/>
        <w:br w:type="textWrapping"/>
        <w:t xml:space="preserve">Decreased sodium and fluid needs related to cardiac dysfunction, as evidenced by an EF of 20-25%, SOB, lower extremity edema, and CHF exacerbation.</w:t>
        <w:br w:type="textWrapping"/>
        <w:t xml:space="preserve"> </w:t>
        <w:tab/>
        <w:tab/>
        <w:tab/>
        <w:tab/>
        <w:tab/>
        <w:tab/>
        <w:tab/>
        <w:tab/>
        <w:br w:type="textWrapping"/>
      </w:r>
      <w:r w:rsidDel="00000000" w:rsidR="00000000" w:rsidRPr="00000000">
        <w:rPr>
          <w:rFonts w:ascii="Times New Roman" w:cs="Times New Roman" w:eastAsia="Times New Roman" w:hAnsi="Times New Roman"/>
          <w:b w:val="1"/>
          <w:sz w:val="24"/>
          <w:szCs w:val="24"/>
          <w:rtl w:val="0"/>
        </w:rPr>
        <w:t xml:space="preserve">Therapeutic Interventions:</w:t>
      </w:r>
      <w:r w:rsidDel="00000000" w:rsidR="00000000" w:rsidRPr="00000000">
        <w:rPr>
          <w:rFonts w:ascii="Times New Roman" w:cs="Times New Roman" w:eastAsia="Times New Roman" w:hAnsi="Times New Roman"/>
          <w:sz w:val="24"/>
          <w:szCs w:val="24"/>
          <w:rtl w:val="0"/>
        </w:rPr>
        <w:tab/>
        <w:tab/>
        <w:tab/>
        <w:tab/>
        <w:tab/>
        <w:tab/>
        <w:t xml:space="preserve"> </w:t>
        <w:tab/>
        <w:tab/>
        <w:tab/>
        <w:tab/>
        <w:tab/>
        <w:tab/>
        <w:tab/>
        <w:tab/>
        <w:br w:type="textWrapping"/>
        <w:t xml:space="preserve">CHF diet education included:</w:t>
        <w:br w:type="textWrapping"/>
        <w:t xml:space="preserve"> </w:t>
        <w:tab/>
        <w:tab/>
        <w:tab/>
        <w:tab/>
        <w:tab/>
        <w:tab/>
        <w:tab/>
        <w:tab/>
      </w:r>
    </w:p>
    <w:p w:rsidR="00000000" w:rsidDel="00000000" w:rsidP="00000000" w:rsidRDefault="00000000" w:rsidRPr="00000000" w14:paraId="0000002E">
      <w:pPr>
        <w:numPr>
          <w:ilvl w:val="1"/>
          <w:numId w:val="1"/>
        </w:numPr>
        <w:spacing w:after="0" w:afterAutospacing="0" w:befor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ab/>
        <w:tab/>
        <w:tab/>
        <w:tab/>
        <w:tab/>
        <w:tab/>
        <w:tab/>
        <w:tab/>
        <w:t xml:space="preserve"> </w:t>
        <w:tab/>
        <w:tab/>
        <w:tab/>
        <w:tab/>
        <w:tab/>
        <w:tab/>
        <w:tab/>
        <w:tab/>
        <w:tab/>
        <w:tab/>
        <w:br w:type="textWrapping"/>
        <w:t xml:space="preserve">○  An 8-cup fluid restriction.</w:t>
        <w:tab/>
        <w:tab/>
        <w:tab/>
        <w:tab/>
        <w:tab/>
        <w:tab/>
        <w:tab/>
        <w:tab/>
        <w:t xml:space="preserve"> </w:t>
        <w:tab/>
        <w:tab/>
        <w:tab/>
        <w:tab/>
        <w:tab/>
        <w:tab/>
        <w:tab/>
        <w:tab/>
        <w:tab/>
        <w:tab/>
        <w:br w:type="textWrapping"/>
        <w:t xml:space="preserve">○  Avoidance of high-sodium foods and added salt.</w:t>
        <w:br w:type="textWrapping"/>
        <w:t xml:space="preserve"> </w:t>
        <w:tab/>
        <w:tab/>
        <w:tab/>
        <w:tab/>
        <w:tab/>
        <w:tab/>
        <w:tab/>
        <w:tab/>
        <w:tab/>
        <w:tab/>
        <w:tab/>
        <w:tab/>
        <w:tab/>
        <w:tab/>
        <w:tab/>
        <w:tab/>
        <w:br w:type="textWrapping"/>
        <w:t xml:space="preserve">○  Nutritional label reading to manage sodium intake (2000 mg/day limit).</w:t>
        <w:tab/>
        <w:tab/>
        <w:tab/>
        <w:tab/>
        <w:tab/>
        <w:tab/>
        <w:tab/>
        <w:t xml:space="preserve"> </w:t>
        <w:tab/>
        <w:tab/>
        <w:tab/>
        <w:tab/>
        <w:tab/>
        <w:br w:type="textWrapping"/>
        <w:t xml:space="preserve">○  Encouraging naturally lower-sodium foods.</w:t>
        <w:tab/>
        <w:tab/>
        <w:tab/>
        <w:tab/>
        <w:tab/>
        <w:tab/>
        <w:tab/>
        <w:br w:type="textWrapping"/>
        <w:t xml:space="preserve">○  Encouraging eating the protein portion of meals first to ensure protein intake.</w:t>
      </w:r>
    </w:p>
    <w:p w:rsidR="00000000" w:rsidDel="00000000" w:rsidP="00000000" w:rsidRDefault="00000000" w:rsidRPr="00000000" w14:paraId="0000002F">
      <w:pPr>
        <w:numPr>
          <w:ilvl w:val="1"/>
          <w:numId w:val="1"/>
        </w:numPr>
        <w:spacing w:after="24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Written materials were provided to support continuing diet adherence.</w:t>
        <w:br w:type="textWrapping"/>
        <w:t xml:space="preserve"> </w:t>
        <w:tab/>
        <w:tab/>
        <w:tab/>
        <w:tab/>
        <w:tab/>
        <w:tab/>
        <w:tab/>
      </w:r>
    </w:p>
    <w:p w:rsidR="00000000" w:rsidDel="00000000" w:rsidP="00000000" w:rsidRDefault="00000000" w:rsidRPr="00000000" w14:paraId="0000003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tab/>
        <w:tab/>
        <w:tab/>
        <w:tab/>
        <w:tab/>
        <w:tab/>
      </w:r>
    </w:p>
    <w:p w:rsidR="00000000" w:rsidDel="00000000" w:rsidP="00000000" w:rsidRDefault="00000000" w:rsidRPr="00000000" w14:paraId="00000031">
      <w:pP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Follow-up and Outcomes:</w:t>
      </w:r>
    </w:p>
    <w:p w:rsidR="00000000" w:rsidDel="00000000" w:rsidP="00000000" w:rsidRDefault="00000000" w:rsidRPr="00000000" w14:paraId="0000003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33">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RD will monitor oral intake, weight trends, and laboratory markers. The patient will be re-evaluated to assess adherence to the nutrition plan and PO intake. Edema will also be assessed.</w:t>
      </w:r>
    </w:p>
    <w:p w:rsidR="00000000" w:rsidDel="00000000" w:rsidP="00000000" w:rsidRDefault="00000000" w:rsidRPr="00000000" w14:paraId="0000003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35">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w:t>
      </w: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36">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strengths of this case include nutritional interventions tailored to manage multiple chronic conditions that encompass multiple metabolic problems and comorbidities. Limitations include the patient’s poor adherence to fluid and sodium restrictions and overall lack of adherence to CHF guidelines.</w:t>
        <w:tab/>
        <w:tab/>
        <w:tab/>
        <w:tab/>
        <w:tab/>
        <w:tab/>
      </w:r>
    </w:p>
    <w:p w:rsidR="00000000" w:rsidDel="00000000" w:rsidP="00000000" w:rsidRDefault="00000000" w:rsidRPr="00000000" w14:paraId="00000037">
      <w:pP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Relevant Medical Literature:</w:t>
      </w:r>
    </w:p>
    <w:p w:rsidR="00000000" w:rsidDel="00000000" w:rsidP="00000000" w:rsidRDefault="00000000" w:rsidRPr="00000000" w14:paraId="00000038">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Medical nutrition therapy (MNT) for both chronic heart failure (CHF) and type 2 diabetes (T2D)/obesity focuses on dietary modifications to manage fluid balance, blood glucose levels, and cardiovascular risk factors. Sodium restriction is a key component in CHF management, as excessive intake can exacerbate fluid retention, leading to symptoms like edema and shortness of breath. Reducing sodium intake to approximately 2,000 mg/day and monitoring fluid intake is essential for symptom control and improved outcomes in CHF (Yancy et al., 2017). Similarly, in T2D and obesity, sodium restriction aids in blood pressure regulation, while dietary adjustments such as reducing ultra-processed foods and emphasizing fiber-rich carbohydrates help improve glycemic control and weight management (Evert et al., 2019). Additionally, individuals with T2D require careful macronutrient distribution, with an emphasis on moderate protein intake (1.0-1.2 g/kg/day) to preserve muscle mass while maintaining glucose homeostasis (ADA, 2023). These dietary strategies collectively contribute to improved cardiovascular and metabolic health outcomes.</w:t>
      </w:r>
    </w:p>
    <w:p w:rsidR="00000000" w:rsidDel="00000000" w:rsidP="00000000" w:rsidRDefault="00000000" w:rsidRPr="00000000" w14:paraId="0000003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3A">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tl w:val="0"/>
        </w:rPr>
      </w:r>
    </w:p>
    <w:p w:rsidR="00000000" w:rsidDel="00000000" w:rsidP="00000000" w:rsidRDefault="00000000" w:rsidRPr="00000000" w14:paraId="0000003B">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takeaway from this case is the critical role of individualized nutrition interventions in managing complex chronic conditions such as CHF and type 2 diabetes. Continuous monitoring and patient education are necessary to ensure optimal outcomes.</w:t>
      </w:r>
    </w:p>
    <w:p w:rsidR="00000000" w:rsidDel="00000000" w:rsidP="00000000" w:rsidRDefault="00000000" w:rsidRPr="00000000" w14:paraId="0000003C">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Patient Perspective:</w:t>
      </w:r>
    </w:p>
    <w:p w:rsidR="00000000" w:rsidDel="00000000" w:rsidP="00000000" w:rsidRDefault="00000000" w:rsidRPr="00000000" w14:paraId="0000003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3E">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patient expressed frustration with her sodium and fluid restriction and that it is hard to abide by in her current condition. </w:t>
        <w:tab/>
        <w:tab/>
        <w:tab/>
        <w:tab/>
        <w:tab/>
        <w:tab/>
      </w:r>
    </w:p>
    <w:p w:rsidR="00000000" w:rsidDel="00000000" w:rsidP="00000000" w:rsidRDefault="00000000" w:rsidRPr="00000000" w14:paraId="0000003F">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Informed Consent:</w:t>
      </w: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40">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patient provided informed consent for the publication of this case report.</w:t>
        <w:tab/>
        <w:tab/>
        <w:tab/>
        <w:tab/>
        <w:tab/>
        <w:tab/>
      </w:r>
    </w:p>
    <w:p w:rsidR="00000000" w:rsidDel="00000000" w:rsidP="00000000" w:rsidRDefault="00000000" w:rsidRPr="00000000" w14:paraId="00000041">
      <w:pP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4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043">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Nutrition and Dietetics. (n.d.). </w:t>
      </w:r>
      <w:r w:rsidDel="00000000" w:rsidR="00000000" w:rsidRPr="00000000">
        <w:rPr>
          <w:rFonts w:ascii="Times New Roman" w:cs="Times New Roman" w:eastAsia="Times New Roman" w:hAnsi="Times New Roman"/>
          <w:i w:val="1"/>
          <w:sz w:val="24"/>
          <w:szCs w:val="24"/>
          <w:rtl w:val="0"/>
        </w:rPr>
        <w:t xml:space="preserve">Nutrition care manual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155cc"/>
          <w:sz w:val="24"/>
          <w:szCs w:val="24"/>
          <w:rtl w:val="0"/>
        </w:rPr>
        <w:t xml:space="preserve">https://www.nutritioncaremanual.org/</w:t>
      </w:r>
      <w:r w:rsidDel="00000000" w:rsidR="00000000" w:rsidRPr="00000000">
        <w:rPr>
          <w:rFonts w:ascii="Times New Roman" w:cs="Times New Roman" w:eastAsia="Times New Roman" w:hAnsi="Times New Roman"/>
          <w:sz w:val="24"/>
          <w:szCs w:val="24"/>
          <w:rtl w:val="0"/>
        </w:rPr>
        <w:tab/>
        <w:tab/>
        <w:tab/>
        <w:tab/>
        <w:tab/>
        <w:tab/>
        <w:tab/>
      </w:r>
    </w:p>
    <w:p w:rsidR="00000000" w:rsidDel="00000000" w:rsidP="00000000" w:rsidRDefault="00000000" w:rsidRPr="00000000" w14:paraId="00000044">
      <w:pPr>
        <w:shd w:fill="ffffff" w:val="clea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Diabetes Association (ADA). (2023). </w:t>
      </w:r>
      <w:r w:rsidDel="00000000" w:rsidR="00000000" w:rsidRPr="00000000">
        <w:rPr>
          <w:rFonts w:ascii="Times New Roman" w:cs="Times New Roman" w:eastAsia="Times New Roman" w:hAnsi="Times New Roman"/>
          <w:i w:val="1"/>
          <w:sz w:val="24"/>
          <w:szCs w:val="24"/>
          <w:rtl w:val="0"/>
        </w:rPr>
        <w:t xml:space="preserve">Standards of medical care in diabetes—2023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Diabetes Care, 46</w:t>
      </w:r>
      <w:r w:rsidDel="00000000" w:rsidR="00000000" w:rsidRPr="00000000">
        <w:rPr>
          <w:rFonts w:ascii="Times New Roman" w:cs="Times New Roman" w:eastAsia="Times New Roman" w:hAnsi="Times New Roman"/>
          <w:sz w:val="24"/>
          <w:szCs w:val="24"/>
          <w:rtl w:val="0"/>
        </w:rPr>
        <w:t xml:space="preserve">(Suppl 1), S1-S282. https://doi.org/10.2337/dc23-S001</w:t>
        <w:br w:type="textWrapping"/>
      </w:r>
    </w:p>
    <w:p w:rsidR="00000000" w:rsidDel="00000000" w:rsidP="00000000" w:rsidRDefault="00000000" w:rsidRPr="00000000" w14:paraId="00000045">
      <w:pPr>
        <w:shd w:fill="ffffff" w:val="clea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Evert, A. B., Dennison, M., Gardner, C. D., Garvey, W. T., Lau, K. H. K., MacLeod, J., Mitri, J., Pereira, R. F., Rawlings, K., &amp; Robinson, S. (2019). Nutrition therapy for adults with diabetes or prediabetes: A consensus report. </w:t>
      </w:r>
      <w:r w:rsidDel="00000000" w:rsidR="00000000" w:rsidRPr="00000000">
        <w:rPr>
          <w:rFonts w:ascii="Times New Roman" w:cs="Times New Roman" w:eastAsia="Times New Roman" w:hAnsi="Times New Roman"/>
          <w:i w:val="1"/>
          <w:sz w:val="24"/>
          <w:szCs w:val="24"/>
          <w:rtl w:val="0"/>
        </w:rPr>
        <w:t xml:space="preserve">Diabetes Care, 42</w:t>
      </w:r>
      <w:r w:rsidDel="00000000" w:rsidR="00000000" w:rsidRPr="00000000">
        <w:rPr>
          <w:rFonts w:ascii="Times New Roman" w:cs="Times New Roman" w:eastAsia="Times New Roman" w:hAnsi="Times New Roman"/>
          <w:sz w:val="24"/>
          <w:szCs w:val="24"/>
          <w:rtl w:val="0"/>
        </w:rPr>
        <w:t xml:space="preserve">(5), 731-754.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https://doi.org/10.2337/dci19-0014</w:t>
        </w:r>
      </w:hyperlink>
      <w:r w:rsidDel="00000000" w:rsidR="00000000" w:rsidRPr="00000000">
        <w:rPr>
          <w:rtl w:val="0"/>
        </w:rPr>
      </w:r>
    </w:p>
    <w:p w:rsidR="00000000" w:rsidDel="00000000" w:rsidP="00000000" w:rsidRDefault="00000000" w:rsidRPr="00000000" w14:paraId="00000046">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WellStar Nutrition Assessment Guidelines</w:t>
        <w:br w:type="textWrapping"/>
      </w:r>
    </w:p>
    <w:p w:rsidR="00000000" w:rsidDel="00000000" w:rsidP="00000000" w:rsidRDefault="00000000" w:rsidRPr="00000000" w14:paraId="00000047">
      <w:pPr>
        <w:shd w:fill="ffffff" w:val="clea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Yancy, C. W., Jessup, M., Bozkurt, B., Butler, J., Casey, D. E., Colvin, M. M., Drazner, M. H., Filippatos, G. S., Fonarow, G. C., Givertz, M. M., Hollenberg, S. M., Lindenfeld, J., Masoudi, F. A., McBride, P. E., Peterson, P. N., Stevenson, L. W., &amp; Westlake, C. (2017). 2017 ACC/AHA/HFSA focused update of the 2013 ACCF/AHA guideline for the management of heart failure. </w:t>
      </w:r>
      <w:r w:rsidDel="00000000" w:rsidR="00000000" w:rsidRPr="00000000">
        <w:rPr>
          <w:rFonts w:ascii="Times New Roman" w:cs="Times New Roman" w:eastAsia="Times New Roman" w:hAnsi="Times New Roman"/>
          <w:i w:val="1"/>
          <w:sz w:val="24"/>
          <w:szCs w:val="24"/>
          <w:rtl w:val="0"/>
        </w:rPr>
        <w:t xml:space="preserve">Journal of the American College of Cardiology, 70</w:t>
      </w:r>
      <w:r w:rsidDel="00000000" w:rsidR="00000000" w:rsidRPr="00000000">
        <w:rPr>
          <w:rFonts w:ascii="Times New Roman" w:cs="Times New Roman" w:eastAsia="Times New Roman" w:hAnsi="Times New Roman"/>
          <w:sz w:val="24"/>
          <w:szCs w:val="24"/>
          <w:rtl w:val="0"/>
        </w:rPr>
        <w:t xml:space="preserve">(6), 776-803. https://doi.org/10.1016/j.jacc.2017.04.025</w:t>
      </w:r>
    </w:p>
    <w:p w:rsidR="00000000" w:rsidDel="00000000" w:rsidP="00000000" w:rsidRDefault="00000000" w:rsidRPr="00000000" w14:paraId="0000004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4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2337/dci19-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