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Bailey Oliver</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Dietetic Internship</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Renal Rotation</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Biochemical Lab value Review</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 Lab Values:</w:t>
      </w:r>
    </w:p>
    <w:p w:rsidR="00000000" w:rsidDel="00000000" w:rsidP="00000000" w:rsidRDefault="00000000" w:rsidRPr="00000000" w14:paraId="00000006">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Sodium: 135–145 mEq/L</w:t>
      </w:r>
    </w:p>
    <w:p w:rsidR="00000000" w:rsidDel="00000000" w:rsidP="00000000" w:rsidRDefault="00000000" w:rsidRPr="00000000" w14:paraId="00000007">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Phosphorous: 2.5–4.5 mg/dL</w:t>
      </w:r>
    </w:p>
    <w:p w:rsidR="00000000" w:rsidDel="00000000" w:rsidP="00000000" w:rsidRDefault="00000000" w:rsidRPr="00000000" w14:paraId="00000008">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Potassium: 3.5–5.0 mEq/L</w:t>
      </w:r>
    </w:p>
    <w:p w:rsidR="00000000" w:rsidDel="00000000" w:rsidP="00000000" w:rsidRDefault="00000000" w:rsidRPr="00000000" w14:paraId="00000009">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eGFR: &gt;90 mL/min/1.73 m² (normal)</w:t>
      </w:r>
    </w:p>
    <w:p w:rsidR="00000000" w:rsidDel="00000000" w:rsidP="00000000" w:rsidRDefault="00000000" w:rsidRPr="00000000" w14:paraId="0000000A">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Albumin: 3.5–5.0 g/dL</w:t>
      </w:r>
    </w:p>
    <w:p w:rsidR="00000000" w:rsidDel="00000000" w:rsidP="00000000" w:rsidRDefault="00000000" w:rsidRPr="00000000" w14:paraId="0000000B">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Calcium: 8.5–10.5 mg/dL</w:t>
      </w:r>
    </w:p>
    <w:p w:rsidR="00000000" w:rsidDel="00000000" w:rsidP="00000000" w:rsidRDefault="00000000" w:rsidRPr="00000000" w14:paraId="0000000C">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PTH: 10–65 pg/mL</w:t>
      </w:r>
    </w:p>
    <w:p w:rsidR="00000000" w:rsidDel="00000000" w:rsidP="00000000" w:rsidRDefault="00000000" w:rsidRPr="00000000" w14:paraId="0000000D">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Glucose: 70–99 mg/dL</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Renal Lab Values:</w:t>
      </w:r>
    </w:p>
    <w:p w:rsidR="00000000" w:rsidDel="00000000" w:rsidP="00000000" w:rsidRDefault="00000000" w:rsidRPr="00000000" w14:paraId="0000000F">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Sodium: Same as normal (unless fluid imbalances present)</w:t>
      </w:r>
    </w:p>
    <w:p w:rsidR="00000000" w:rsidDel="00000000" w:rsidP="00000000" w:rsidRDefault="00000000" w:rsidRPr="00000000" w14:paraId="00000010">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Phosphorous: 3.0–5.5 mg/dL (early CKD); 3.5–5.5 mg/dL (dialysis)</w:t>
      </w:r>
    </w:p>
    <w:p w:rsidR="00000000" w:rsidDel="00000000" w:rsidP="00000000" w:rsidRDefault="00000000" w:rsidRPr="00000000" w14:paraId="00000011">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Potassium: 3.5–5.5 mEq/L (CKD); keep &lt;5.0 if hyperkalemia risk</w:t>
      </w:r>
    </w:p>
    <w:p w:rsidR="00000000" w:rsidDel="00000000" w:rsidP="00000000" w:rsidRDefault="00000000" w:rsidRPr="00000000" w14:paraId="00000012">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eGFR: &lt;60 = CKD; goal is to </w:t>
      </w:r>
      <w:r w:rsidDel="00000000" w:rsidR="00000000" w:rsidRPr="00000000">
        <w:rPr>
          <w:rFonts w:ascii="Times New Roman" w:cs="Times New Roman" w:eastAsia="Times New Roman" w:hAnsi="Times New Roman"/>
          <w:b w:val="1"/>
          <w:sz w:val="24"/>
          <w:szCs w:val="24"/>
          <w:rtl w:val="0"/>
        </w:rPr>
        <w:t xml:space="preserve">slow progression</w:t>
      </w:r>
      <w:r w:rsidDel="00000000" w:rsidR="00000000" w:rsidRPr="00000000">
        <w:rPr>
          <w:rtl w:val="0"/>
        </w:rPr>
      </w:r>
    </w:p>
    <w:p w:rsidR="00000000" w:rsidDel="00000000" w:rsidP="00000000" w:rsidRDefault="00000000" w:rsidRPr="00000000" w14:paraId="00000013">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Albumin: &gt;4.0 g/dL ideal; low albumin may indicate malnutrition or inflammation</w:t>
      </w:r>
    </w:p>
    <w:p w:rsidR="00000000" w:rsidDel="00000000" w:rsidP="00000000" w:rsidRDefault="00000000" w:rsidRPr="00000000" w14:paraId="00000014">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Calcium: 8.4–9.5 mg/dL (adjusted for albumin)</w:t>
      </w:r>
    </w:p>
    <w:p w:rsidR="00000000" w:rsidDel="00000000" w:rsidP="00000000" w:rsidRDefault="00000000" w:rsidRPr="00000000" w14:paraId="00000015">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PTH: CKD stage 3–4: 35–70 pg/mL; dialysis: 150–600 pg/mL</w:t>
      </w:r>
    </w:p>
    <w:p w:rsidR="00000000" w:rsidDel="00000000" w:rsidP="00000000" w:rsidRDefault="00000000" w:rsidRPr="00000000" w14:paraId="00000016">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Glucose: Same; aim for good glucose control in CKD (ADA: 80–130 mg/dL fasting)</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Patient 1:</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Values:</w:t>
      </w:r>
    </w:p>
    <w:p w:rsidR="00000000" w:rsidDel="00000000" w:rsidP="00000000" w:rsidRDefault="00000000" w:rsidRPr="00000000" w14:paraId="0000001A">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Sodium: 145 H</w:t>
      </w:r>
    </w:p>
    <w:p w:rsidR="00000000" w:rsidDel="00000000" w:rsidP="00000000" w:rsidRDefault="00000000" w:rsidRPr="00000000" w14:paraId="0000001B">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Phosphorous: 1.0 L</w:t>
      </w:r>
    </w:p>
    <w:p w:rsidR="00000000" w:rsidDel="00000000" w:rsidP="00000000" w:rsidRDefault="00000000" w:rsidRPr="00000000" w14:paraId="0000001C">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Potassium: 4.4 N</w:t>
      </w:r>
    </w:p>
    <w:p w:rsidR="00000000" w:rsidDel="00000000" w:rsidP="00000000" w:rsidRDefault="00000000" w:rsidRPr="00000000" w14:paraId="0000001D">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eGFR: 11 L</w:t>
      </w:r>
    </w:p>
    <w:p w:rsidR="00000000" w:rsidDel="00000000" w:rsidP="00000000" w:rsidRDefault="00000000" w:rsidRPr="00000000" w14:paraId="0000001E">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Albumin: 2.8 L </w:t>
      </w:r>
    </w:p>
    <w:p w:rsidR="00000000" w:rsidDel="00000000" w:rsidP="00000000" w:rsidRDefault="00000000" w:rsidRPr="00000000" w14:paraId="0000001F">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Calcium: 8.8 N</w:t>
      </w:r>
    </w:p>
    <w:p w:rsidR="00000000" w:rsidDel="00000000" w:rsidP="00000000" w:rsidRDefault="00000000" w:rsidRPr="00000000" w14:paraId="00000020">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PTH: 380 H</w:t>
      </w:r>
    </w:p>
    <w:p w:rsidR="00000000" w:rsidDel="00000000" w:rsidP="00000000" w:rsidRDefault="00000000" w:rsidRPr="00000000" w14:paraId="00000021">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Glucose: 125 H</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 of Abnormality and MNT:</w:t>
      </w:r>
    </w:p>
    <w:p w:rsidR="00000000" w:rsidDel="00000000" w:rsidP="00000000" w:rsidRDefault="00000000" w:rsidRPr="00000000" w14:paraId="00000023">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Phosphorus low because phosphate binder prescription too high, counseled on low sodium foods and increasing intake of fresh fruits and vegetables without added salt. </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Patient 2: PD</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Values:</w:t>
      </w:r>
    </w:p>
    <w:p w:rsidR="00000000" w:rsidDel="00000000" w:rsidP="00000000" w:rsidRDefault="00000000" w:rsidRPr="00000000" w14:paraId="00000027">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Sodium: 139 H</w:t>
      </w:r>
    </w:p>
    <w:p w:rsidR="00000000" w:rsidDel="00000000" w:rsidP="00000000" w:rsidRDefault="00000000" w:rsidRPr="00000000" w14:paraId="00000028">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Phosphorous: 6.5 H</w:t>
      </w:r>
    </w:p>
    <w:p w:rsidR="00000000" w:rsidDel="00000000" w:rsidP="00000000" w:rsidRDefault="00000000" w:rsidRPr="00000000" w14:paraId="00000029">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Potassium: 3.8 N</w:t>
      </w:r>
    </w:p>
    <w:p w:rsidR="00000000" w:rsidDel="00000000" w:rsidP="00000000" w:rsidRDefault="00000000" w:rsidRPr="00000000" w14:paraId="0000002A">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eGFR: N/A</w:t>
      </w:r>
    </w:p>
    <w:p w:rsidR="00000000" w:rsidDel="00000000" w:rsidP="00000000" w:rsidRDefault="00000000" w:rsidRPr="00000000" w14:paraId="0000002B">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Albumin: 4.3 N</w:t>
      </w:r>
    </w:p>
    <w:p w:rsidR="00000000" w:rsidDel="00000000" w:rsidP="00000000" w:rsidRDefault="00000000" w:rsidRPr="00000000" w14:paraId="0000002C">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Calcium:  9.6 N</w:t>
      </w:r>
    </w:p>
    <w:p w:rsidR="00000000" w:rsidDel="00000000" w:rsidP="00000000" w:rsidRDefault="00000000" w:rsidRPr="00000000" w14:paraId="0000002D">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PTH: 968</w:t>
      </w:r>
    </w:p>
    <w:p w:rsidR="00000000" w:rsidDel="00000000" w:rsidP="00000000" w:rsidRDefault="00000000" w:rsidRPr="00000000" w14:paraId="0000002E">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Glucose: 152 H</w:t>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 of Abnormality and MNT: Low adherence to phosphate binder and high fluid intake.</w:t>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Patient 3: PD</w:t>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Values:</w:t>
      </w:r>
    </w:p>
    <w:p w:rsidR="00000000" w:rsidDel="00000000" w:rsidP="00000000" w:rsidRDefault="00000000" w:rsidRPr="00000000" w14:paraId="00000034">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Sodium: 138 H</w:t>
      </w:r>
    </w:p>
    <w:p w:rsidR="00000000" w:rsidDel="00000000" w:rsidP="00000000" w:rsidRDefault="00000000" w:rsidRPr="00000000" w14:paraId="00000035">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Phosphorous: 7.6 H</w:t>
      </w:r>
    </w:p>
    <w:p w:rsidR="00000000" w:rsidDel="00000000" w:rsidP="00000000" w:rsidRDefault="00000000" w:rsidRPr="00000000" w14:paraId="00000036">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Potassium: 5.8 H</w:t>
      </w:r>
    </w:p>
    <w:p w:rsidR="00000000" w:rsidDel="00000000" w:rsidP="00000000" w:rsidRDefault="00000000" w:rsidRPr="00000000" w14:paraId="00000037">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eGFR: N/A</w:t>
      </w:r>
    </w:p>
    <w:p w:rsidR="00000000" w:rsidDel="00000000" w:rsidP="00000000" w:rsidRDefault="00000000" w:rsidRPr="00000000" w14:paraId="00000038">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Albumin: 3.6</w:t>
      </w:r>
    </w:p>
    <w:p w:rsidR="00000000" w:rsidDel="00000000" w:rsidP="00000000" w:rsidRDefault="00000000" w:rsidRPr="00000000" w14:paraId="00000039">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Calcium: 8.5 N</w:t>
      </w:r>
    </w:p>
    <w:p w:rsidR="00000000" w:rsidDel="00000000" w:rsidP="00000000" w:rsidRDefault="00000000" w:rsidRPr="00000000" w14:paraId="0000003A">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PTH: 768 H</w:t>
      </w:r>
    </w:p>
    <w:p w:rsidR="00000000" w:rsidDel="00000000" w:rsidP="00000000" w:rsidRDefault="00000000" w:rsidRPr="00000000" w14:paraId="0000003B">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Glucose: 152 H</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 of Abnormality and MNT: Not eating well, not using phosphate binder and eating high potassium foods such as potatoes and tomatoes. Counseled on adherence to taking phosphate binders and medications, and limiting high phosphorous foods in diet. </w:t>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Patient 4: PD</w:t>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Values:</w:t>
      </w:r>
    </w:p>
    <w:p w:rsidR="00000000" w:rsidDel="00000000" w:rsidP="00000000" w:rsidRDefault="00000000" w:rsidRPr="00000000" w14:paraId="00000040">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Sodium: 139 H</w:t>
      </w:r>
    </w:p>
    <w:p w:rsidR="00000000" w:rsidDel="00000000" w:rsidP="00000000" w:rsidRDefault="00000000" w:rsidRPr="00000000" w14:paraId="00000041">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Phosphorous: 6.5</w:t>
      </w:r>
    </w:p>
    <w:p w:rsidR="00000000" w:rsidDel="00000000" w:rsidP="00000000" w:rsidRDefault="00000000" w:rsidRPr="00000000" w14:paraId="00000042">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Potassium: 3.8 N</w:t>
      </w:r>
    </w:p>
    <w:p w:rsidR="00000000" w:rsidDel="00000000" w:rsidP="00000000" w:rsidRDefault="00000000" w:rsidRPr="00000000" w14:paraId="00000043">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eGFR: N/A</w:t>
      </w:r>
    </w:p>
    <w:p w:rsidR="00000000" w:rsidDel="00000000" w:rsidP="00000000" w:rsidRDefault="00000000" w:rsidRPr="00000000" w14:paraId="00000044">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Albumin: 4.3 N</w:t>
      </w:r>
    </w:p>
    <w:p w:rsidR="00000000" w:rsidDel="00000000" w:rsidP="00000000" w:rsidRDefault="00000000" w:rsidRPr="00000000" w14:paraId="00000045">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Calcium: 9.6 N</w:t>
      </w:r>
    </w:p>
    <w:p w:rsidR="00000000" w:rsidDel="00000000" w:rsidP="00000000" w:rsidRDefault="00000000" w:rsidRPr="00000000" w14:paraId="00000046">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PTH: 968 H</w:t>
      </w:r>
    </w:p>
    <w:p w:rsidR="00000000" w:rsidDel="00000000" w:rsidP="00000000" w:rsidRDefault="00000000" w:rsidRPr="00000000" w14:paraId="00000047">
      <w:pPr>
        <w:numPr>
          <w:ilvl w:val="0"/>
          <w:numId w:val="1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Glucose: 152 H</w:t>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 of Abnormality and MNT: high phosphorus because not taking phosphate binders and not eating, high glucose because low adherence to diabetic diet and frequent consumption of sodas and high sugar snacks and foods. Counseled on diet soda and limiting high sugar foods.</w:t>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Medication Review:</w:t>
      </w:r>
    </w:p>
    <w:p w:rsidR="00000000" w:rsidDel="00000000" w:rsidP="00000000" w:rsidRDefault="00000000" w:rsidRPr="00000000" w14:paraId="0000004B">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Most commonly used medications:</w:t>
      </w:r>
    </w:p>
    <w:p w:rsidR="00000000" w:rsidDel="00000000" w:rsidP="00000000" w:rsidRDefault="00000000" w:rsidRPr="00000000" w14:paraId="0000004C">
      <w:pPr>
        <w:keepNext w:val="0"/>
        <w:keepLines w:val="0"/>
        <w:spacing w:before="2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Erythropoiesis-Stimulating Agents (ESAs)</w:t>
      </w:r>
    </w:p>
    <w:p w:rsidR="00000000" w:rsidDel="00000000" w:rsidP="00000000" w:rsidRDefault="00000000" w:rsidRPr="00000000" w14:paraId="0000004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 </w:t>
      </w:r>
      <w:r w:rsidDel="00000000" w:rsidR="00000000" w:rsidRPr="00000000">
        <w:rPr>
          <w:rFonts w:ascii="Times New Roman" w:cs="Times New Roman" w:eastAsia="Times New Roman" w:hAnsi="Times New Roman"/>
          <w:sz w:val="24"/>
          <w:szCs w:val="24"/>
          <w:rtl w:val="0"/>
        </w:rPr>
        <w:t xml:space="preserve">Epoetin alfa (Epogen, Procrit)</w:t>
      </w:r>
    </w:p>
    <w:p w:rsidR="00000000" w:rsidDel="00000000" w:rsidP="00000000" w:rsidRDefault="00000000" w:rsidRPr="00000000" w14:paraId="0000004E">
      <w:pPr>
        <w:numPr>
          <w:ilvl w:val="0"/>
          <w:numId w:val="2"/>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Hematopoietic agent</w:t>
        <w:br w:type="textWrapping"/>
      </w:r>
    </w:p>
    <w:p w:rsidR="00000000" w:rsidDel="00000000" w:rsidP="00000000" w:rsidRDefault="00000000" w:rsidRPr="00000000" w14:paraId="0000004F">
      <w:pPr>
        <w:numPr>
          <w:ilvl w:val="0"/>
          <w:numId w:val="2"/>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Treats anemia caused by low erythropoietin in ESRD</w:t>
        <w:br w:type="textWrapping"/>
      </w:r>
    </w:p>
    <w:p w:rsidR="00000000" w:rsidDel="00000000" w:rsidP="00000000" w:rsidRDefault="00000000" w:rsidRPr="00000000" w14:paraId="00000050">
      <w:pPr>
        <w:numPr>
          <w:ilvl w:val="0"/>
          <w:numId w:val="2"/>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 significance: Adequate iron, B12, and folate status is needed for effectiveness; iron supplementation often needed. </w:t>
      </w:r>
    </w:p>
    <w:p w:rsidR="00000000" w:rsidDel="00000000" w:rsidP="00000000" w:rsidRDefault="00000000" w:rsidRPr="00000000" w14:paraId="00000051">
      <w:pPr>
        <w:keepNext w:val="0"/>
        <w:keepLines w:val="0"/>
        <w:spacing w:before="2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Intravenous Iron Supplements</w:t>
      </w:r>
    </w:p>
    <w:p w:rsidR="00000000" w:rsidDel="00000000" w:rsidP="00000000" w:rsidRDefault="00000000" w:rsidRPr="00000000" w14:paraId="0000005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w:t>
      </w:r>
      <w:r w:rsidDel="00000000" w:rsidR="00000000" w:rsidRPr="00000000">
        <w:rPr>
          <w:rFonts w:ascii="Times New Roman" w:cs="Times New Roman" w:eastAsia="Times New Roman" w:hAnsi="Times New Roman"/>
          <w:sz w:val="24"/>
          <w:szCs w:val="24"/>
          <w:rtl w:val="0"/>
        </w:rPr>
        <w:t xml:space="preserve">Iron sucrose (Venofer), ferric gluconate (Ferrlecit)</w:t>
      </w:r>
    </w:p>
    <w:p w:rsidR="00000000" w:rsidDel="00000000" w:rsidP="00000000" w:rsidRDefault="00000000" w:rsidRPr="00000000" w14:paraId="00000053">
      <w:pPr>
        <w:numPr>
          <w:ilvl w:val="0"/>
          <w:numId w:val="6"/>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Mineral supplement</w:t>
        <w:br w:type="textWrapping"/>
      </w:r>
    </w:p>
    <w:p w:rsidR="00000000" w:rsidDel="00000000" w:rsidP="00000000" w:rsidRDefault="00000000" w:rsidRPr="00000000" w14:paraId="00000054">
      <w:pPr>
        <w:numPr>
          <w:ilvl w:val="0"/>
          <w:numId w:val="6"/>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Treats iron-deficiency anemia, especially in patients on ESAs</w:t>
        <w:br w:type="textWrapping"/>
      </w:r>
    </w:p>
    <w:p w:rsidR="00000000" w:rsidDel="00000000" w:rsidP="00000000" w:rsidRDefault="00000000" w:rsidRPr="00000000" w14:paraId="00000055">
      <w:pPr>
        <w:numPr>
          <w:ilvl w:val="0"/>
          <w:numId w:val="6"/>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 significance: Iron overload is possible; avoid high doses of vitamin C, which can increase iron absorption and oxidative stress in ESRD patients.</w:t>
      </w:r>
    </w:p>
    <w:p w:rsidR="00000000" w:rsidDel="00000000" w:rsidP="00000000" w:rsidRDefault="00000000" w:rsidRPr="00000000" w14:paraId="00000056">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Phosphate Binders</w:t>
      </w:r>
    </w:p>
    <w:p w:rsidR="00000000" w:rsidDel="00000000" w:rsidP="00000000" w:rsidRDefault="00000000" w:rsidRPr="00000000" w14:paraId="0000005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w:t>
      </w:r>
      <w:r w:rsidDel="00000000" w:rsidR="00000000" w:rsidRPr="00000000">
        <w:rPr>
          <w:rFonts w:ascii="Times New Roman" w:cs="Times New Roman" w:eastAsia="Times New Roman" w:hAnsi="Times New Roman"/>
          <w:sz w:val="24"/>
          <w:szCs w:val="24"/>
          <w:rtl w:val="0"/>
        </w:rPr>
        <w:t xml:space="preserve">Calcium acetate (PhosLo), sevelamer carbonate (Renvela), lanthanum carbonate (Fosrenol)</w:t>
      </w:r>
    </w:p>
    <w:p w:rsidR="00000000" w:rsidDel="00000000" w:rsidP="00000000" w:rsidRDefault="00000000" w:rsidRPr="00000000" w14:paraId="00000059">
      <w:pPr>
        <w:numPr>
          <w:ilvl w:val="0"/>
          <w:numId w:val="5"/>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Phosphate binder</w:t>
        <w:br w:type="textWrapping"/>
      </w:r>
    </w:p>
    <w:p w:rsidR="00000000" w:rsidDel="00000000" w:rsidP="00000000" w:rsidRDefault="00000000" w:rsidRPr="00000000" w14:paraId="0000005A">
      <w:pPr>
        <w:numPr>
          <w:ilvl w:val="0"/>
          <w:numId w:val="5"/>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Controls hyperphosphatemia by binding phosphorus in the GI tract</w:t>
        <w:br w:type="textWrapping"/>
      </w:r>
    </w:p>
    <w:p w:rsidR="00000000" w:rsidDel="00000000" w:rsidP="00000000" w:rsidRDefault="00000000" w:rsidRPr="00000000" w14:paraId="0000005B">
      <w:pPr>
        <w:numPr>
          <w:ilvl w:val="0"/>
          <w:numId w:val="5"/>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 significance: Must be taken with meals; monitor calcium intake with calcium-based binders to prevent hypercalcemia.</w:t>
      </w:r>
    </w:p>
    <w:p w:rsidR="00000000" w:rsidDel="00000000" w:rsidP="00000000" w:rsidRDefault="00000000" w:rsidRPr="00000000" w14:paraId="0000005C">
      <w:pPr>
        <w:keepNext w:val="0"/>
        <w:keepLines w:val="0"/>
        <w:spacing w:before="2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Vitamin D Analogs</w:t>
      </w:r>
    </w:p>
    <w:p w:rsidR="00000000" w:rsidDel="00000000" w:rsidP="00000000" w:rsidRDefault="00000000" w:rsidRPr="00000000" w14:paraId="0000005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w:t>
      </w:r>
      <w:r w:rsidDel="00000000" w:rsidR="00000000" w:rsidRPr="00000000">
        <w:rPr>
          <w:rFonts w:ascii="Times New Roman" w:cs="Times New Roman" w:eastAsia="Times New Roman" w:hAnsi="Times New Roman"/>
          <w:sz w:val="24"/>
          <w:szCs w:val="24"/>
          <w:rtl w:val="0"/>
        </w:rPr>
        <w:t xml:space="preserve">Calcitriol (Rocaltrol), paricalcitol (Zemplar), doxercalciferol (Hectorol)</w:t>
      </w:r>
    </w:p>
    <w:p w:rsidR="00000000" w:rsidDel="00000000" w:rsidP="00000000" w:rsidRDefault="00000000" w:rsidRPr="00000000" w14:paraId="0000005E">
      <w:pPr>
        <w:numPr>
          <w:ilvl w:val="0"/>
          <w:numId w:val="1"/>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Vitamin D hormone replacement</w:t>
        <w:br w:type="textWrapping"/>
      </w:r>
    </w:p>
    <w:p w:rsidR="00000000" w:rsidDel="00000000" w:rsidP="00000000" w:rsidRDefault="00000000" w:rsidRPr="00000000" w14:paraId="0000005F">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Manages secondary hyperparathyroidism by suppressing PTH</w:t>
        <w:br w:type="textWrapping"/>
      </w:r>
    </w:p>
    <w:p w:rsidR="00000000" w:rsidDel="00000000" w:rsidP="00000000" w:rsidRDefault="00000000" w:rsidRPr="00000000" w14:paraId="00000060">
      <w:pPr>
        <w:numPr>
          <w:ilvl w:val="0"/>
          <w:numId w:val="1"/>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 significance: Watch for hypercalcemia and hyperphosphatemia; avoid excess dietary phosphorus and calcium.</w:t>
        <w:br w:type="textWrapping"/>
      </w:r>
    </w:p>
    <w:p w:rsidR="00000000" w:rsidDel="00000000" w:rsidP="00000000" w:rsidRDefault="00000000" w:rsidRPr="00000000" w14:paraId="00000061">
      <w:pPr>
        <w:spacing w:line="48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keepNext w:val="0"/>
        <w:keepLines w:val="0"/>
        <w:spacing w:before="2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Calcimimetics</w:t>
      </w:r>
    </w:p>
    <w:p w:rsidR="00000000" w:rsidDel="00000000" w:rsidP="00000000" w:rsidRDefault="00000000" w:rsidRPr="00000000" w14:paraId="0000006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 </w:t>
      </w:r>
      <w:r w:rsidDel="00000000" w:rsidR="00000000" w:rsidRPr="00000000">
        <w:rPr>
          <w:rFonts w:ascii="Times New Roman" w:cs="Times New Roman" w:eastAsia="Times New Roman" w:hAnsi="Times New Roman"/>
          <w:sz w:val="24"/>
          <w:szCs w:val="24"/>
          <w:rtl w:val="0"/>
        </w:rPr>
        <w:t xml:space="preserve">Cinacalcet (Sensipar)</w:t>
      </w:r>
    </w:p>
    <w:p w:rsidR="00000000" w:rsidDel="00000000" w:rsidP="00000000" w:rsidRDefault="00000000" w:rsidRPr="00000000" w14:paraId="00000064">
      <w:pPr>
        <w:numPr>
          <w:ilvl w:val="0"/>
          <w:numId w:val="3"/>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Calcimimetic agent</w:t>
        <w:br w:type="textWrapping"/>
      </w:r>
    </w:p>
    <w:p w:rsidR="00000000" w:rsidDel="00000000" w:rsidP="00000000" w:rsidRDefault="00000000" w:rsidRPr="00000000" w14:paraId="00000065">
      <w:pPr>
        <w:numPr>
          <w:ilvl w:val="0"/>
          <w:numId w:val="3"/>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Lowers parathyroid hormone (PTH) levels in secondary hyperparathyroidism</w:t>
        <w:br w:type="textWrapping"/>
      </w:r>
    </w:p>
    <w:p w:rsidR="00000000" w:rsidDel="00000000" w:rsidP="00000000" w:rsidRDefault="00000000" w:rsidRPr="00000000" w14:paraId="00000066">
      <w:pPr>
        <w:numPr>
          <w:ilvl w:val="0"/>
          <w:numId w:val="3"/>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 significance: May cause hypocalcemia; monitor dietary calcium intake.</w:t>
        <w:br w:type="textWrapping"/>
      </w:r>
    </w:p>
    <w:p w:rsidR="00000000" w:rsidDel="00000000" w:rsidP="00000000" w:rsidRDefault="00000000" w:rsidRPr="00000000" w14:paraId="0000006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Antihypertensives (ACE Inhibitors/ARBs)</w:t>
      </w:r>
    </w:p>
    <w:p w:rsidR="00000000" w:rsidDel="00000000" w:rsidP="00000000" w:rsidRDefault="00000000" w:rsidRPr="00000000" w14:paraId="00000068">
      <w:pPr>
        <w:spacing w:after="240" w:before="24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Examples: </w:t>
      </w:r>
      <w:r w:rsidDel="00000000" w:rsidR="00000000" w:rsidRPr="00000000">
        <w:rPr>
          <w:rFonts w:ascii="Times New Roman" w:cs="Times New Roman" w:eastAsia="Times New Roman" w:hAnsi="Times New Roman"/>
          <w:i w:val="1"/>
          <w:sz w:val="24"/>
          <w:szCs w:val="24"/>
          <w:rtl w:val="0"/>
        </w:rPr>
        <w:t xml:space="preserve">Lisinopril, losartan</w:t>
      </w:r>
    </w:p>
    <w:p w:rsidR="00000000" w:rsidDel="00000000" w:rsidP="00000000" w:rsidRDefault="00000000" w:rsidRPr="00000000" w14:paraId="00000069">
      <w:pPr>
        <w:numPr>
          <w:ilvl w:val="0"/>
          <w:numId w:val="7"/>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ACE inhibitors/ARBs</w:t>
        <w:br w:type="textWrapping"/>
      </w:r>
    </w:p>
    <w:p w:rsidR="00000000" w:rsidDel="00000000" w:rsidP="00000000" w:rsidRDefault="00000000" w:rsidRPr="00000000" w14:paraId="0000006A">
      <w:pPr>
        <w:numPr>
          <w:ilvl w:val="0"/>
          <w:numId w:val="7"/>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Controls blood pressure, protects residual kidney function</w:t>
        <w:br w:type="textWrapping"/>
      </w:r>
    </w:p>
    <w:p w:rsidR="00000000" w:rsidDel="00000000" w:rsidP="00000000" w:rsidRDefault="00000000" w:rsidRPr="00000000" w14:paraId="0000006B">
      <w:pPr>
        <w:numPr>
          <w:ilvl w:val="0"/>
          <w:numId w:val="7"/>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 significance: May cause hyperkalemia; potassium intake may need to be restricted.</w:t>
      </w:r>
    </w:p>
    <w:p w:rsidR="00000000" w:rsidDel="00000000" w:rsidP="00000000" w:rsidRDefault="00000000" w:rsidRPr="00000000" w14:paraId="0000006C">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Diuretics (for PD or early ESRD patients)</w:t>
      </w:r>
    </w:p>
    <w:p w:rsidR="00000000" w:rsidDel="00000000" w:rsidP="00000000" w:rsidRDefault="00000000" w:rsidRPr="00000000" w14:paraId="0000006D">
      <w:pPr>
        <w:spacing w:after="240" w:before="24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Examples: </w:t>
      </w:r>
      <w:r w:rsidDel="00000000" w:rsidR="00000000" w:rsidRPr="00000000">
        <w:rPr>
          <w:rFonts w:ascii="Times New Roman" w:cs="Times New Roman" w:eastAsia="Times New Roman" w:hAnsi="Times New Roman"/>
          <w:i w:val="1"/>
          <w:sz w:val="24"/>
          <w:szCs w:val="24"/>
          <w:rtl w:val="0"/>
        </w:rPr>
        <w:t xml:space="preserve">Furosemide (Lasix)</w:t>
      </w:r>
    </w:p>
    <w:p w:rsidR="00000000" w:rsidDel="00000000" w:rsidP="00000000" w:rsidRDefault="00000000" w:rsidRPr="00000000" w14:paraId="0000006E">
      <w:pPr>
        <w:numPr>
          <w:ilvl w:val="0"/>
          <w:numId w:val="8"/>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Loop diuretic</w:t>
        <w:br w:type="textWrapping"/>
      </w:r>
    </w:p>
    <w:p w:rsidR="00000000" w:rsidDel="00000000" w:rsidP="00000000" w:rsidRDefault="00000000" w:rsidRPr="00000000" w14:paraId="0000006F">
      <w:pPr>
        <w:numPr>
          <w:ilvl w:val="0"/>
          <w:numId w:val="8"/>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Removes excess fluid in patients with residual kidney function</w:t>
        <w:br w:type="textWrapping"/>
      </w:r>
    </w:p>
    <w:p w:rsidR="00000000" w:rsidDel="00000000" w:rsidP="00000000" w:rsidRDefault="00000000" w:rsidRPr="00000000" w14:paraId="00000070">
      <w:pPr>
        <w:numPr>
          <w:ilvl w:val="0"/>
          <w:numId w:val="8"/>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 significance: May cause loss of potassium, magnesium, and thiamine; supplementation might be needed.</w:t>
        <w:br w:type="textWrapping"/>
      </w:r>
    </w:p>
    <w:p w:rsidR="00000000" w:rsidDel="00000000" w:rsidP="00000000" w:rsidRDefault="00000000" w:rsidRPr="00000000" w14:paraId="0000007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Sodium Bicarbonate</w:t>
      </w:r>
    </w:p>
    <w:p w:rsidR="00000000" w:rsidDel="00000000" w:rsidP="00000000" w:rsidRDefault="00000000" w:rsidRPr="00000000" w14:paraId="00000072">
      <w:pPr>
        <w:spacing w:after="240" w:before="24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Example: </w:t>
      </w:r>
      <w:r w:rsidDel="00000000" w:rsidR="00000000" w:rsidRPr="00000000">
        <w:rPr>
          <w:rFonts w:ascii="Times New Roman" w:cs="Times New Roman" w:eastAsia="Times New Roman" w:hAnsi="Times New Roman"/>
          <w:i w:val="1"/>
          <w:sz w:val="24"/>
          <w:szCs w:val="24"/>
          <w:rtl w:val="0"/>
        </w:rPr>
        <w:t xml:space="preserve">Sodium bicarbonate tablets</w:t>
      </w:r>
    </w:p>
    <w:p w:rsidR="00000000" w:rsidDel="00000000" w:rsidP="00000000" w:rsidRDefault="00000000" w:rsidRPr="00000000" w14:paraId="00000073">
      <w:pPr>
        <w:numPr>
          <w:ilvl w:val="0"/>
          <w:numId w:val="9"/>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Alkalinizing agent</w:t>
        <w:br w:type="textWrapping"/>
      </w:r>
    </w:p>
    <w:p w:rsidR="00000000" w:rsidDel="00000000" w:rsidP="00000000" w:rsidRDefault="00000000" w:rsidRPr="00000000" w14:paraId="00000074">
      <w:pPr>
        <w:numPr>
          <w:ilvl w:val="0"/>
          <w:numId w:val="9"/>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Treats metabolic acidosis common in ESRD</w:t>
        <w:br w:type="textWrapping"/>
      </w:r>
    </w:p>
    <w:p w:rsidR="00000000" w:rsidDel="00000000" w:rsidP="00000000" w:rsidRDefault="00000000" w:rsidRPr="00000000" w14:paraId="00000075">
      <w:pPr>
        <w:numPr>
          <w:ilvl w:val="0"/>
          <w:numId w:val="9"/>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 significance: Can contribute to sodium load; monitor sodium intake to avoid fluid retention and hypertension.</w:t>
        <w:br w:type="textWrapping"/>
      </w:r>
    </w:p>
    <w:p w:rsidR="00000000" w:rsidDel="00000000" w:rsidP="00000000" w:rsidRDefault="00000000" w:rsidRPr="00000000" w14:paraId="0000007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Statins</w:t>
      </w:r>
    </w:p>
    <w:p w:rsidR="00000000" w:rsidDel="00000000" w:rsidP="00000000" w:rsidRDefault="00000000" w:rsidRPr="00000000" w14:paraId="00000077">
      <w:pPr>
        <w:spacing w:after="240" w:before="24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Examples: </w:t>
      </w:r>
      <w:r w:rsidDel="00000000" w:rsidR="00000000" w:rsidRPr="00000000">
        <w:rPr>
          <w:rFonts w:ascii="Times New Roman" w:cs="Times New Roman" w:eastAsia="Times New Roman" w:hAnsi="Times New Roman"/>
          <w:i w:val="1"/>
          <w:sz w:val="24"/>
          <w:szCs w:val="24"/>
          <w:rtl w:val="0"/>
        </w:rPr>
        <w:t xml:space="preserve">Atorvastatin (Lipitor), simvastatin</w:t>
      </w:r>
    </w:p>
    <w:p w:rsidR="00000000" w:rsidDel="00000000" w:rsidP="00000000" w:rsidRDefault="00000000" w:rsidRPr="00000000" w14:paraId="00000078">
      <w:pPr>
        <w:numPr>
          <w:ilvl w:val="0"/>
          <w:numId w:val="10"/>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HMG-CoA reductase inhibitors</w:t>
        <w:br w:type="textWrapping"/>
      </w:r>
    </w:p>
    <w:p w:rsidR="00000000" w:rsidDel="00000000" w:rsidP="00000000" w:rsidRDefault="00000000" w:rsidRPr="00000000" w14:paraId="00000079">
      <w:pPr>
        <w:numPr>
          <w:ilvl w:val="0"/>
          <w:numId w:val="10"/>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Lowers cholesterol and cardiovascular risk</w:t>
        <w:br w:type="textWrapping"/>
      </w:r>
    </w:p>
    <w:p w:rsidR="00000000" w:rsidDel="00000000" w:rsidP="00000000" w:rsidRDefault="00000000" w:rsidRPr="00000000" w14:paraId="0000007A">
      <w:pPr>
        <w:numPr>
          <w:ilvl w:val="0"/>
          <w:numId w:val="10"/>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 significance: Encourage a heart-healthy diet; avoid grapefruit with some statins due to enzyme interactions.</w:t>
        <w:br w:type="textWrapping"/>
      </w:r>
    </w:p>
    <w:p w:rsidR="00000000" w:rsidDel="00000000" w:rsidP="00000000" w:rsidRDefault="00000000" w:rsidRPr="00000000" w14:paraId="0000007B">
      <w:pPr>
        <w:spacing w:line="48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keepNext w:val="0"/>
        <w:keepLines w:val="0"/>
        <w:spacing w:before="2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Multivitamins for Renal Patients</w:t>
      </w:r>
    </w:p>
    <w:p w:rsidR="00000000" w:rsidDel="00000000" w:rsidP="00000000" w:rsidRDefault="00000000" w:rsidRPr="00000000" w14:paraId="0000007D">
      <w:pPr>
        <w:spacing w:after="240" w:before="24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Example: </w:t>
      </w:r>
      <w:r w:rsidDel="00000000" w:rsidR="00000000" w:rsidRPr="00000000">
        <w:rPr>
          <w:rFonts w:ascii="Times New Roman" w:cs="Times New Roman" w:eastAsia="Times New Roman" w:hAnsi="Times New Roman"/>
          <w:i w:val="1"/>
          <w:sz w:val="24"/>
          <w:szCs w:val="24"/>
          <w:rtl w:val="0"/>
        </w:rPr>
        <w:t xml:space="preserve">Nephro-Vite, Renal-Vite</w:t>
      </w:r>
    </w:p>
    <w:p w:rsidR="00000000" w:rsidDel="00000000" w:rsidP="00000000" w:rsidRDefault="00000000" w:rsidRPr="00000000" w14:paraId="0000007E">
      <w:pPr>
        <w:numPr>
          <w:ilvl w:val="0"/>
          <w:numId w:val="11"/>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Renal-specific multivitamin</w:t>
        <w:br w:type="textWrapping"/>
      </w:r>
    </w:p>
    <w:p w:rsidR="00000000" w:rsidDel="00000000" w:rsidP="00000000" w:rsidRDefault="00000000" w:rsidRPr="00000000" w14:paraId="0000007F">
      <w:pPr>
        <w:numPr>
          <w:ilvl w:val="0"/>
          <w:numId w:val="1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Replaces water-soluble vitamins lost during dialysis</w:t>
        <w:br w:type="textWrapping"/>
      </w:r>
    </w:p>
    <w:p w:rsidR="00000000" w:rsidDel="00000000" w:rsidP="00000000" w:rsidRDefault="00000000" w:rsidRPr="00000000" w14:paraId="00000080">
      <w:pPr>
        <w:numPr>
          <w:ilvl w:val="0"/>
          <w:numId w:val="11"/>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 significance: Includes B vitamins, folic acid, and vitamin C; does not include vitamin A, potassium, or magnesium (which can be harmful in ESRD).</w:t>
      </w:r>
    </w:p>
    <w:p w:rsidR="00000000" w:rsidDel="00000000" w:rsidP="00000000" w:rsidRDefault="00000000" w:rsidRPr="00000000" w14:paraId="00000081">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numPr>
          <w:ilvl w:val="0"/>
          <w:numId w:val="11"/>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medications</w:t>
      </w:r>
    </w:p>
    <w:p w:rsidR="00000000" w:rsidDel="00000000" w:rsidP="00000000" w:rsidRDefault="00000000" w:rsidRPr="00000000" w14:paraId="00000083">
      <w:pPr>
        <w:numPr>
          <w:ilvl w:val="0"/>
          <w:numId w:val="11"/>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 significance and drug nutrient interactions</w:t>
      </w:r>
    </w:p>
    <w:p w:rsidR="00000000" w:rsidDel="00000000" w:rsidP="00000000" w:rsidRDefault="00000000" w:rsidRPr="00000000" w14:paraId="00000084">
      <w:pPr>
        <w:spacing w:line="480" w:lineRule="auto"/>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